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6CBCE" w14:textId="3D761FA0" w:rsidR="00492577" w:rsidRDefault="00492577" w:rsidP="00492577">
      <w:pPr>
        <w:pStyle w:val="Heading1"/>
      </w:pPr>
      <w:r w:rsidRPr="00492577">
        <w:t xml:space="preserve">Example Work Products Associated with </w:t>
      </w:r>
      <w:r>
        <w:t xml:space="preserve">Different </w:t>
      </w:r>
      <w:r w:rsidRPr="00492577">
        <w:t>Maturity Levels</w:t>
      </w:r>
    </w:p>
    <w:p w14:paraId="2A054B1B" w14:textId="77777777" w:rsidR="00492577" w:rsidRPr="00492577" w:rsidRDefault="00492577" w:rsidP="00492577"/>
    <w:p w14:paraId="044F8CE2" w14:textId="599D182D" w:rsidR="00492577" w:rsidRDefault="00492577" w:rsidP="009A6491">
      <w:pPr>
        <w:jc w:val="both"/>
      </w:pPr>
      <w:r w:rsidRPr="00492577">
        <w:t>Work products are essential components of the Artificial Intelligence Resilience Maturity Model (AI-RMM) as they provide tangible evidence of an organization's progress and maturity in managing AI-related risks. In the context of AI-RMM, work products can vary widely depending on the specific aspects of AI resilience being addressed at each level of maturity. Here are some examples of work products that might be associated with each level of the AI-RMM</w:t>
      </w:r>
      <w:r>
        <w:t>.</w:t>
      </w:r>
    </w:p>
    <w:p w14:paraId="28291E94" w14:textId="38F309B5" w:rsidR="00377061" w:rsidRDefault="00377061" w:rsidP="00377061">
      <w:pPr>
        <w:pStyle w:val="Heading2"/>
        <w:rPr>
          <w:lang w:val="en-GB"/>
        </w:rPr>
      </w:pPr>
      <w:r w:rsidRPr="00377061">
        <w:rPr>
          <w:lang w:val="en-GB"/>
        </w:rPr>
        <w:t>Initial Level</w:t>
      </w:r>
      <w:r w:rsidR="00D0726A">
        <w:rPr>
          <w:lang w:val="en-GB"/>
        </w:rPr>
        <w:t xml:space="preserve"> </w:t>
      </w:r>
      <w:r w:rsidR="00374D34">
        <w:rPr>
          <w:lang w:val="en-GB"/>
        </w:rPr>
        <w:t>(Level 1)</w:t>
      </w:r>
    </w:p>
    <w:p w14:paraId="42E26138" w14:textId="3AA39AC6" w:rsidR="00374D34" w:rsidRPr="00374D34" w:rsidRDefault="00374D34" w:rsidP="00374D34">
      <w:pPr>
        <w:rPr>
          <w:lang w:val="en-GB"/>
        </w:rPr>
      </w:pPr>
      <w:r w:rsidRPr="00374D34">
        <w:rPr>
          <w:lang w:val="en-GB"/>
        </w:rPr>
        <w:t>At the Initial level, organizations have an ad-hoc approach to AI resilience, with no formalized processes or policies in place. AI initiatives are managed reactively, with resilience measures often improvised in response to specific issues as they arise.</w:t>
      </w:r>
    </w:p>
    <w:p w14:paraId="4C86D33B" w14:textId="7F9559D5" w:rsidR="00377061" w:rsidRPr="00377061" w:rsidRDefault="00377061" w:rsidP="00377061">
      <w:pPr>
        <w:numPr>
          <w:ilvl w:val="0"/>
          <w:numId w:val="1"/>
        </w:numPr>
        <w:jc w:val="both"/>
        <w:rPr>
          <w:lang w:val="en-GB"/>
        </w:rPr>
      </w:pPr>
      <w:r w:rsidRPr="00377061">
        <w:rPr>
          <w:b/>
          <w:bCs/>
          <w:lang w:val="en-GB"/>
        </w:rPr>
        <w:t>AI Risk Assessment Reports</w:t>
      </w:r>
      <w:r>
        <w:rPr>
          <w:b/>
          <w:bCs/>
          <w:lang w:val="en-GB"/>
        </w:rPr>
        <w:t xml:space="preserve"> -</w:t>
      </w:r>
      <w:r w:rsidRPr="00377061">
        <w:rPr>
          <w:lang w:val="en-GB"/>
        </w:rPr>
        <w:t xml:space="preserve"> Initial documentation of identified AI-related risks and potential impacts on the organization.</w:t>
      </w:r>
    </w:p>
    <w:p w14:paraId="6B625280" w14:textId="787A0676" w:rsidR="00377061" w:rsidRPr="00377061" w:rsidRDefault="00377061" w:rsidP="00377061">
      <w:pPr>
        <w:numPr>
          <w:ilvl w:val="0"/>
          <w:numId w:val="1"/>
        </w:numPr>
        <w:jc w:val="both"/>
        <w:rPr>
          <w:lang w:val="en-GB"/>
        </w:rPr>
      </w:pPr>
      <w:r w:rsidRPr="00377061">
        <w:rPr>
          <w:b/>
          <w:bCs/>
          <w:lang w:val="en-GB"/>
        </w:rPr>
        <w:t>Incident Response Plans</w:t>
      </w:r>
      <w:r>
        <w:rPr>
          <w:b/>
          <w:bCs/>
          <w:lang w:val="en-GB"/>
        </w:rPr>
        <w:t xml:space="preserve"> -</w:t>
      </w:r>
      <w:r w:rsidRPr="00377061">
        <w:rPr>
          <w:lang w:val="en-GB"/>
        </w:rPr>
        <w:t xml:space="preserve"> Basic plans outlining steps to be taken in response to AI system failures or breaches.</w:t>
      </w:r>
    </w:p>
    <w:p w14:paraId="3603F110" w14:textId="2CCD5D75" w:rsidR="00377061" w:rsidRPr="00377061" w:rsidRDefault="00377061" w:rsidP="00377061">
      <w:pPr>
        <w:numPr>
          <w:ilvl w:val="0"/>
          <w:numId w:val="1"/>
        </w:numPr>
        <w:jc w:val="both"/>
        <w:rPr>
          <w:lang w:val="en-GB"/>
        </w:rPr>
      </w:pPr>
      <w:r w:rsidRPr="00377061">
        <w:rPr>
          <w:b/>
          <w:bCs/>
          <w:lang w:val="en-GB"/>
        </w:rPr>
        <w:t>Compliance Checklists</w:t>
      </w:r>
      <w:r>
        <w:rPr>
          <w:b/>
          <w:bCs/>
          <w:lang w:val="en-GB"/>
        </w:rPr>
        <w:t xml:space="preserve"> -</w:t>
      </w:r>
      <w:r w:rsidRPr="00377061">
        <w:rPr>
          <w:lang w:val="en-GB"/>
        </w:rPr>
        <w:t xml:space="preserve"> Checklists to ensure basic compliance with legal and regulatory requirements related to AI.</w:t>
      </w:r>
    </w:p>
    <w:p w14:paraId="5043B054" w14:textId="7A865FF4" w:rsidR="00377061" w:rsidRDefault="00377061" w:rsidP="00377061">
      <w:pPr>
        <w:pStyle w:val="Heading2"/>
        <w:rPr>
          <w:lang w:val="en-GB"/>
        </w:rPr>
      </w:pPr>
      <w:r w:rsidRPr="00377061">
        <w:rPr>
          <w:lang w:val="en-GB"/>
        </w:rPr>
        <w:t>Managed Level</w:t>
      </w:r>
      <w:r w:rsidR="00374D34">
        <w:rPr>
          <w:lang w:val="en-GB"/>
        </w:rPr>
        <w:t xml:space="preserve"> (Level 2)</w:t>
      </w:r>
    </w:p>
    <w:p w14:paraId="1F6EA003" w14:textId="4B55D7F1" w:rsidR="00374D34" w:rsidRPr="00374D34" w:rsidRDefault="006C68E3" w:rsidP="00374D34">
      <w:pPr>
        <w:rPr>
          <w:lang w:val="en-GB"/>
        </w:rPr>
      </w:pPr>
      <w:r w:rsidRPr="006C68E3">
        <w:rPr>
          <w:lang w:val="en-GB"/>
        </w:rPr>
        <w:t>Organizations at the Managed level have established basic policies and procedures for AI resilience, but these practices may not be consistently applied across all AI projects. There is an awareness of the need for structured resilience efforts, and initial steps are taken to implement them.</w:t>
      </w:r>
    </w:p>
    <w:p w14:paraId="4FD06539" w14:textId="20A5D98C" w:rsidR="00377061" w:rsidRPr="00377061" w:rsidRDefault="00377061" w:rsidP="00377061">
      <w:pPr>
        <w:numPr>
          <w:ilvl w:val="0"/>
          <w:numId w:val="2"/>
        </w:numPr>
        <w:jc w:val="both"/>
        <w:rPr>
          <w:lang w:val="en-GB"/>
        </w:rPr>
      </w:pPr>
      <w:r w:rsidRPr="00377061">
        <w:rPr>
          <w:b/>
          <w:bCs/>
          <w:lang w:val="en-GB"/>
        </w:rPr>
        <w:t>AI Governance Policies</w:t>
      </w:r>
      <w:r>
        <w:rPr>
          <w:b/>
          <w:bCs/>
          <w:lang w:val="en-GB"/>
        </w:rPr>
        <w:t xml:space="preserve"> -</w:t>
      </w:r>
      <w:r w:rsidRPr="00377061">
        <w:rPr>
          <w:lang w:val="en-GB"/>
        </w:rPr>
        <w:t xml:space="preserve"> Formalized policies for the governance of AI technologies, including ethical use, data management, and privacy.</w:t>
      </w:r>
    </w:p>
    <w:p w14:paraId="08C82C54" w14:textId="720BFB19" w:rsidR="00377061" w:rsidRPr="00377061" w:rsidRDefault="00377061" w:rsidP="00377061">
      <w:pPr>
        <w:numPr>
          <w:ilvl w:val="0"/>
          <w:numId w:val="2"/>
        </w:numPr>
        <w:jc w:val="both"/>
        <w:rPr>
          <w:lang w:val="en-GB"/>
        </w:rPr>
      </w:pPr>
      <w:r w:rsidRPr="00377061">
        <w:rPr>
          <w:b/>
          <w:bCs/>
          <w:lang w:val="en-GB"/>
        </w:rPr>
        <w:t>Training and Awareness Programs</w:t>
      </w:r>
      <w:r>
        <w:rPr>
          <w:b/>
          <w:bCs/>
          <w:lang w:val="en-GB"/>
        </w:rPr>
        <w:t xml:space="preserve"> -</w:t>
      </w:r>
      <w:r w:rsidRPr="00377061">
        <w:rPr>
          <w:lang w:val="en-GB"/>
        </w:rPr>
        <w:t xml:space="preserve"> Structured programs designed to enhance the AI literacy of the workforce and stakeholders.</w:t>
      </w:r>
    </w:p>
    <w:p w14:paraId="02594638" w14:textId="1560B6B8" w:rsidR="00377061" w:rsidRPr="00377061" w:rsidRDefault="00377061" w:rsidP="00377061">
      <w:pPr>
        <w:numPr>
          <w:ilvl w:val="0"/>
          <w:numId w:val="2"/>
        </w:numPr>
        <w:jc w:val="both"/>
        <w:rPr>
          <w:lang w:val="en-GB"/>
        </w:rPr>
      </w:pPr>
      <w:r w:rsidRPr="00377061">
        <w:rPr>
          <w:b/>
          <w:bCs/>
          <w:lang w:val="en-GB"/>
        </w:rPr>
        <w:t>Stakeholder Engagement Records</w:t>
      </w:r>
      <w:r>
        <w:rPr>
          <w:b/>
          <w:bCs/>
          <w:lang w:val="en-GB"/>
        </w:rPr>
        <w:t xml:space="preserve"> -</w:t>
      </w:r>
      <w:r w:rsidRPr="00377061">
        <w:rPr>
          <w:lang w:val="en-GB"/>
        </w:rPr>
        <w:t xml:space="preserve"> Documentation of interactions with and feedback from stakeholders regarding AI systems and their impacts.</w:t>
      </w:r>
    </w:p>
    <w:p w14:paraId="35E7928F" w14:textId="7C3CF880" w:rsidR="00377061" w:rsidRDefault="00377061" w:rsidP="00377061">
      <w:pPr>
        <w:pStyle w:val="Heading2"/>
        <w:rPr>
          <w:lang w:val="en-GB"/>
        </w:rPr>
      </w:pPr>
      <w:r w:rsidRPr="00377061">
        <w:rPr>
          <w:lang w:val="en-GB"/>
        </w:rPr>
        <w:t>Defined Level</w:t>
      </w:r>
      <w:r w:rsidR="006C68E3">
        <w:rPr>
          <w:lang w:val="en-GB"/>
        </w:rPr>
        <w:t xml:space="preserve"> (Level 3)</w:t>
      </w:r>
    </w:p>
    <w:p w14:paraId="5338F4ED" w14:textId="4126EE43" w:rsidR="006C68E3" w:rsidRPr="006C68E3" w:rsidRDefault="00B03456" w:rsidP="006C68E3">
      <w:pPr>
        <w:rPr>
          <w:lang w:val="en-GB"/>
        </w:rPr>
      </w:pPr>
      <w:r w:rsidRPr="00B03456">
        <w:rPr>
          <w:lang w:val="en-GB"/>
        </w:rPr>
        <w:t>At the Defined level, organizations have developed and documented standard practices and procedures for AI resilience that are consistently applied across the organization. There is a clear understanding of AI risks, and resilience strategies are systematically integrated into AI projects.</w:t>
      </w:r>
    </w:p>
    <w:p w14:paraId="0FEE44FB" w14:textId="6BBC1759" w:rsidR="00377061" w:rsidRPr="00377061" w:rsidRDefault="00377061" w:rsidP="00377061">
      <w:pPr>
        <w:numPr>
          <w:ilvl w:val="0"/>
          <w:numId w:val="3"/>
        </w:numPr>
        <w:jc w:val="both"/>
        <w:rPr>
          <w:lang w:val="en-GB"/>
        </w:rPr>
      </w:pPr>
      <w:r w:rsidRPr="00377061">
        <w:rPr>
          <w:b/>
          <w:bCs/>
          <w:lang w:val="en-GB"/>
        </w:rPr>
        <w:t>AI Risk Management Framework</w:t>
      </w:r>
      <w:r>
        <w:rPr>
          <w:b/>
          <w:bCs/>
          <w:lang w:val="en-GB"/>
        </w:rPr>
        <w:t xml:space="preserve"> -</w:t>
      </w:r>
      <w:r w:rsidRPr="00377061">
        <w:rPr>
          <w:lang w:val="en-GB"/>
        </w:rPr>
        <w:t xml:space="preserve"> A comprehensive framework that integrates AI risk management with the organization's overall risk management processes.</w:t>
      </w:r>
    </w:p>
    <w:p w14:paraId="42D9112C" w14:textId="767C24D4" w:rsidR="00377061" w:rsidRPr="00377061" w:rsidRDefault="00377061" w:rsidP="00377061">
      <w:pPr>
        <w:numPr>
          <w:ilvl w:val="0"/>
          <w:numId w:val="3"/>
        </w:numPr>
        <w:jc w:val="both"/>
        <w:rPr>
          <w:lang w:val="en-GB"/>
        </w:rPr>
      </w:pPr>
      <w:r w:rsidRPr="00377061">
        <w:rPr>
          <w:b/>
          <w:bCs/>
          <w:lang w:val="en-GB"/>
        </w:rPr>
        <w:lastRenderedPageBreak/>
        <w:t>Performance Metrics and Benchmarks</w:t>
      </w:r>
      <w:r>
        <w:rPr>
          <w:b/>
          <w:bCs/>
          <w:lang w:val="en-GB"/>
        </w:rPr>
        <w:t xml:space="preserve"> -</w:t>
      </w:r>
      <w:r w:rsidRPr="00377061">
        <w:rPr>
          <w:lang w:val="en-GB"/>
        </w:rPr>
        <w:t xml:space="preserve"> Defined metrics and benchmarks for measuring the performance and impact of AI systems against resilience objectives.</w:t>
      </w:r>
    </w:p>
    <w:p w14:paraId="1C74A379" w14:textId="2AF91BC7" w:rsidR="00377061" w:rsidRPr="00377061" w:rsidRDefault="00377061" w:rsidP="00377061">
      <w:pPr>
        <w:numPr>
          <w:ilvl w:val="0"/>
          <w:numId w:val="3"/>
        </w:numPr>
        <w:jc w:val="both"/>
        <w:rPr>
          <w:lang w:val="en-GB"/>
        </w:rPr>
      </w:pPr>
      <w:r w:rsidRPr="00377061">
        <w:rPr>
          <w:b/>
          <w:bCs/>
          <w:lang w:val="en-GB"/>
        </w:rPr>
        <w:t>AI Ethics Guidelines</w:t>
      </w:r>
      <w:r>
        <w:rPr>
          <w:b/>
          <w:bCs/>
          <w:lang w:val="en-GB"/>
        </w:rPr>
        <w:t xml:space="preserve"> -</w:t>
      </w:r>
      <w:r w:rsidRPr="00377061">
        <w:rPr>
          <w:lang w:val="en-GB"/>
        </w:rPr>
        <w:t xml:space="preserve"> Detailed guidelines ensuring the ethical development, deployment, and use of AI technologies.</w:t>
      </w:r>
    </w:p>
    <w:p w14:paraId="41B00E4E" w14:textId="392486AD" w:rsidR="00377061" w:rsidRDefault="00377061" w:rsidP="00377061">
      <w:pPr>
        <w:pStyle w:val="Heading2"/>
        <w:rPr>
          <w:lang w:val="en-GB"/>
        </w:rPr>
      </w:pPr>
      <w:r w:rsidRPr="00377061">
        <w:rPr>
          <w:lang w:val="en-GB"/>
        </w:rPr>
        <w:t>Quantitatively Managed Level</w:t>
      </w:r>
      <w:r w:rsidR="00B03456">
        <w:rPr>
          <w:lang w:val="en-GB"/>
        </w:rPr>
        <w:t xml:space="preserve"> (Level 4)</w:t>
      </w:r>
    </w:p>
    <w:p w14:paraId="082276C7" w14:textId="317DAAC4" w:rsidR="00B03456" w:rsidRPr="00B03456" w:rsidRDefault="00AC674D" w:rsidP="00B03456">
      <w:pPr>
        <w:rPr>
          <w:lang w:val="en-GB"/>
        </w:rPr>
      </w:pPr>
      <w:r w:rsidRPr="00AC674D">
        <w:rPr>
          <w:lang w:val="en-GB"/>
        </w:rPr>
        <w:t>Organizations at the Quantitatively Managed level use metrics and data to assess and improve their AI resilience practices. Decision-making is informed by quantitative analysis, allowing for more precise management of AI resilience efforts.</w:t>
      </w:r>
    </w:p>
    <w:p w14:paraId="1A21ACC4" w14:textId="1824559B" w:rsidR="00377061" w:rsidRPr="00377061" w:rsidRDefault="00377061" w:rsidP="00377061">
      <w:pPr>
        <w:numPr>
          <w:ilvl w:val="0"/>
          <w:numId w:val="4"/>
        </w:numPr>
        <w:jc w:val="both"/>
        <w:rPr>
          <w:lang w:val="en-GB"/>
        </w:rPr>
      </w:pPr>
      <w:r w:rsidRPr="00377061">
        <w:rPr>
          <w:b/>
          <w:bCs/>
          <w:lang w:val="en-GB"/>
        </w:rPr>
        <w:t>Quantitative Risk Analysis Reports</w:t>
      </w:r>
      <w:r>
        <w:rPr>
          <w:b/>
          <w:bCs/>
          <w:lang w:val="en-GB"/>
        </w:rPr>
        <w:t xml:space="preserve"> -</w:t>
      </w:r>
      <w:r w:rsidRPr="00377061">
        <w:rPr>
          <w:lang w:val="en-GB"/>
        </w:rPr>
        <w:t xml:space="preserve"> In-depth analyses of AI risks using quantitative methods to assess probability and impact.</w:t>
      </w:r>
    </w:p>
    <w:p w14:paraId="18ED9A4C" w14:textId="02DDF675" w:rsidR="00377061" w:rsidRPr="00377061" w:rsidRDefault="00377061" w:rsidP="00377061">
      <w:pPr>
        <w:numPr>
          <w:ilvl w:val="0"/>
          <w:numId w:val="4"/>
        </w:numPr>
        <w:jc w:val="both"/>
        <w:rPr>
          <w:lang w:val="en-GB"/>
        </w:rPr>
      </w:pPr>
      <w:r w:rsidRPr="00377061">
        <w:rPr>
          <w:b/>
          <w:bCs/>
          <w:lang w:val="en-GB"/>
        </w:rPr>
        <w:t>Effectiveness Reviews</w:t>
      </w:r>
      <w:r>
        <w:rPr>
          <w:b/>
          <w:bCs/>
          <w:lang w:val="en-GB"/>
        </w:rPr>
        <w:t xml:space="preserve"> -</w:t>
      </w:r>
      <w:r w:rsidRPr="00377061">
        <w:rPr>
          <w:lang w:val="en-GB"/>
        </w:rPr>
        <w:t xml:space="preserve"> Regular reviews of AI systems and risk management practices to assess their effectiveness against predefined metrics.</w:t>
      </w:r>
    </w:p>
    <w:p w14:paraId="6E4506D6" w14:textId="1A5E292A" w:rsidR="00377061" w:rsidRPr="00377061" w:rsidRDefault="00377061" w:rsidP="00377061">
      <w:pPr>
        <w:numPr>
          <w:ilvl w:val="0"/>
          <w:numId w:val="4"/>
        </w:numPr>
        <w:jc w:val="both"/>
        <w:rPr>
          <w:lang w:val="en-GB"/>
        </w:rPr>
      </w:pPr>
      <w:r w:rsidRPr="00377061">
        <w:rPr>
          <w:b/>
          <w:bCs/>
          <w:lang w:val="en-GB"/>
        </w:rPr>
        <w:t>Resilience Training Simulations</w:t>
      </w:r>
      <w:r>
        <w:rPr>
          <w:b/>
          <w:bCs/>
          <w:lang w:val="en-GB"/>
        </w:rPr>
        <w:t xml:space="preserve"> -</w:t>
      </w:r>
      <w:r w:rsidRPr="00377061">
        <w:rPr>
          <w:lang w:val="en-GB"/>
        </w:rPr>
        <w:t xml:space="preserve"> Advanced simulations and training exercises designed to prepare teams for various AI-related disruptions.</w:t>
      </w:r>
    </w:p>
    <w:p w14:paraId="6924268B" w14:textId="0BCD9C18" w:rsidR="00377061" w:rsidRDefault="00377061" w:rsidP="00377061">
      <w:pPr>
        <w:pStyle w:val="Heading2"/>
        <w:rPr>
          <w:lang w:val="en-GB"/>
        </w:rPr>
      </w:pPr>
      <w:r w:rsidRPr="00377061">
        <w:rPr>
          <w:lang w:val="en-GB"/>
        </w:rPr>
        <w:t>Optimizing Level</w:t>
      </w:r>
      <w:r w:rsidR="00AC674D">
        <w:rPr>
          <w:lang w:val="en-GB"/>
        </w:rPr>
        <w:t xml:space="preserve"> (Level 5)</w:t>
      </w:r>
    </w:p>
    <w:p w14:paraId="52B20781" w14:textId="01E698E3" w:rsidR="00AC674D" w:rsidRPr="00AC674D" w:rsidRDefault="00C376A6" w:rsidP="00AC674D">
      <w:pPr>
        <w:rPr>
          <w:lang w:val="en-GB"/>
        </w:rPr>
      </w:pPr>
      <w:r w:rsidRPr="00C376A6">
        <w:rPr>
          <w:lang w:val="en-GB"/>
        </w:rPr>
        <w:t>At the Optimizing level, organizations continuously improve their AI resilience practices based on lessons learned and predictive insights. They proactively adapt to emerging AI challenges and technologies, fostering a culture of innovation and excellence in AI resilience.</w:t>
      </w:r>
    </w:p>
    <w:p w14:paraId="2AE7846E" w14:textId="11EAF57D" w:rsidR="00377061" w:rsidRPr="00377061" w:rsidRDefault="00377061" w:rsidP="00377061">
      <w:pPr>
        <w:numPr>
          <w:ilvl w:val="0"/>
          <w:numId w:val="5"/>
        </w:numPr>
        <w:jc w:val="both"/>
        <w:rPr>
          <w:lang w:val="en-GB"/>
        </w:rPr>
      </w:pPr>
      <w:r w:rsidRPr="00377061">
        <w:rPr>
          <w:b/>
          <w:bCs/>
          <w:lang w:val="en-GB"/>
        </w:rPr>
        <w:t>Continuous Improvement Plans</w:t>
      </w:r>
      <w:r>
        <w:rPr>
          <w:b/>
          <w:bCs/>
          <w:lang w:val="en-GB"/>
        </w:rPr>
        <w:t xml:space="preserve"> -</w:t>
      </w:r>
      <w:r w:rsidRPr="00377061">
        <w:rPr>
          <w:lang w:val="en-GB"/>
        </w:rPr>
        <w:t xml:space="preserve"> Dynamic plans that leverage feedback loops and lessons learned to continuously improve AI resilience practices.</w:t>
      </w:r>
    </w:p>
    <w:p w14:paraId="0ED032F3" w14:textId="75B04D75" w:rsidR="00377061" w:rsidRPr="00377061" w:rsidRDefault="00377061" w:rsidP="00377061">
      <w:pPr>
        <w:numPr>
          <w:ilvl w:val="0"/>
          <w:numId w:val="5"/>
        </w:numPr>
        <w:jc w:val="both"/>
        <w:rPr>
          <w:lang w:val="en-GB"/>
        </w:rPr>
      </w:pPr>
      <w:r w:rsidRPr="00377061">
        <w:rPr>
          <w:b/>
          <w:bCs/>
          <w:lang w:val="en-GB"/>
        </w:rPr>
        <w:t>Innovation Pipelines</w:t>
      </w:r>
      <w:r>
        <w:rPr>
          <w:b/>
          <w:bCs/>
          <w:lang w:val="en-GB"/>
        </w:rPr>
        <w:t xml:space="preserve"> -</w:t>
      </w:r>
      <w:r w:rsidRPr="00377061">
        <w:rPr>
          <w:lang w:val="en-GB"/>
        </w:rPr>
        <w:t xml:space="preserve"> Processes and initiatives designed to encourage innovation in enhancing AI resilience and risk management.</w:t>
      </w:r>
    </w:p>
    <w:p w14:paraId="643F5696" w14:textId="00B4CE81" w:rsidR="00377061" w:rsidRPr="00377061" w:rsidRDefault="00377061" w:rsidP="00377061">
      <w:pPr>
        <w:numPr>
          <w:ilvl w:val="0"/>
          <w:numId w:val="5"/>
        </w:numPr>
        <w:jc w:val="both"/>
        <w:rPr>
          <w:lang w:val="en-GB"/>
        </w:rPr>
      </w:pPr>
      <w:r w:rsidRPr="00377061">
        <w:rPr>
          <w:b/>
          <w:bCs/>
          <w:lang w:val="en-GB"/>
        </w:rPr>
        <w:t>External Collaboration Documents</w:t>
      </w:r>
      <w:r>
        <w:rPr>
          <w:b/>
          <w:bCs/>
          <w:lang w:val="en-GB"/>
        </w:rPr>
        <w:t xml:space="preserve"> -</w:t>
      </w:r>
      <w:r w:rsidRPr="00377061">
        <w:rPr>
          <w:lang w:val="en-GB"/>
        </w:rPr>
        <w:t xml:space="preserve"> Evidence of active collaboration with external entities, such as industry groups or academic institutions, to share best practices and learn from broader community experiences.</w:t>
      </w:r>
    </w:p>
    <w:p w14:paraId="6CE9AF2D" w14:textId="77777777" w:rsidR="00377061" w:rsidRPr="00377061" w:rsidRDefault="00377061" w:rsidP="00377061">
      <w:pPr>
        <w:jc w:val="both"/>
        <w:rPr>
          <w:lang w:val="en-GB"/>
        </w:rPr>
      </w:pPr>
      <w:r w:rsidRPr="00377061">
        <w:rPr>
          <w:lang w:val="en-GB"/>
        </w:rPr>
        <w:t>For each maturity level, the work products not only serve as proof of the organization's current standing but also provide a roadmap for what needs to be accomplished to reach the next level. These products should be regularly reviewed and updated to reflect the evolving nature of AI technologies and the associated risks. By doing so, organizations can ensure that their AI-RMM practices remain effective and aligned with the latest standards and best practices.</w:t>
      </w:r>
    </w:p>
    <w:p w14:paraId="4C15F9C3" w14:textId="77777777" w:rsidR="00492577" w:rsidRDefault="00492577" w:rsidP="009A6491">
      <w:pPr>
        <w:jc w:val="both"/>
      </w:pPr>
    </w:p>
    <w:p w14:paraId="58114799" w14:textId="77777777" w:rsidR="00492577" w:rsidRDefault="00492577" w:rsidP="009A6491">
      <w:pPr>
        <w:jc w:val="both"/>
      </w:pPr>
    </w:p>
    <w:p w14:paraId="5B310A84" w14:textId="77777777" w:rsidR="002C6136" w:rsidRDefault="002C6136"/>
    <w:sectPr w:rsidR="002C6136" w:rsidSect="00B50F5B">
      <w:headerReference w:type="default" r:id="rId9"/>
      <w:pgSz w:w="12240" w:h="15840"/>
      <w:pgMar w:top="1440" w:right="1440" w:bottom="1440" w:left="1440" w:header="720" w:footer="720" w:gutter="0"/>
      <w:pgBorders>
        <w:top w:val="single" w:sz="4" w:space="1" w:color="auto"/>
        <w:bottom w:val="single" w:sz="4" w:space="1"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7E8C6" w14:textId="77777777" w:rsidR="00B50F5B" w:rsidRDefault="00B50F5B" w:rsidP="009A6491">
      <w:pPr>
        <w:spacing w:after="0" w:line="240" w:lineRule="auto"/>
      </w:pPr>
      <w:r>
        <w:separator/>
      </w:r>
    </w:p>
  </w:endnote>
  <w:endnote w:type="continuationSeparator" w:id="0">
    <w:p w14:paraId="2B754150" w14:textId="77777777" w:rsidR="00B50F5B" w:rsidRDefault="00B50F5B" w:rsidP="009A64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ova">
    <w:charset w:val="00"/>
    <w:family w:val="swiss"/>
    <w:pitch w:val="variable"/>
    <w:sig w:usb0="0000028F"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6EC56" w14:textId="77777777" w:rsidR="00B50F5B" w:rsidRDefault="00B50F5B" w:rsidP="009A6491">
      <w:pPr>
        <w:spacing w:after="0" w:line="240" w:lineRule="auto"/>
      </w:pPr>
      <w:r>
        <w:separator/>
      </w:r>
    </w:p>
  </w:footnote>
  <w:footnote w:type="continuationSeparator" w:id="0">
    <w:p w14:paraId="470D37E0" w14:textId="77777777" w:rsidR="00B50F5B" w:rsidRDefault="00B50F5B" w:rsidP="009A64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6ACB0" w14:textId="117A4A66" w:rsidR="009A6491" w:rsidRDefault="009A6491">
    <w:pPr>
      <w:pStyle w:val="Header"/>
    </w:pPr>
    <w:r>
      <w:rPr>
        <w:noProof/>
      </w:rPr>
      <w:drawing>
        <wp:anchor distT="0" distB="0" distL="114300" distR="114300" simplePos="0" relativeHeight="251658240" behindDoc="0" locked="0" layoutInCell="1" allowOverlap="1" wp14:anchorId="1B84DF5B" wp14:editId="6769C29C">
          <wp:simplePos x="0" y="0"/>
          <wp:positionH relativeFrom="column">
            <wp:posOffset>0</wp:posOffset>
          </wp:positionH>
          <wp:positionV relativeFrom="paragraph">
            <wp:posOffset>-352121</wp:posOffset>
          </wp:positionV>
          <wp:extent cx="1659600" cy="309600"/>
          <wp:effectExtent l="0" t="0" r="0" b="0"/>
          <wp:wrapTopAndBottom/>
          <wp:docPr id="472237952"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237952" name="Graphic 47223795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59600" cy="309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93CC8"/>
    <w:multiLevelType w:val="multilevel"/>
    <w:tmpl w:val="152EC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5585BCA"/>
    <w:multiLevelType w:val="multilevel"/>
    <w:tmpl w:val="16B6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4E42F08"/>
    <w:multiLevelType w:val="multilevel"/>
    <w:tmpl w:val="E1506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9E17237"/>
    <w:multiLevelType w:val="multilevel"/>
    <w:tmpl w:val="04DCB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E7408DC"/>
    <w:multiLevelType w:val="multilevel"/>
    <w:tmpl w:val="40F46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54010575">
    <w:abstractNumId w:val="1"/>
  </w:num>
  <w:num w:numId="2" w16cid:durableId="1605840891">
    <w:abstractNumId w:val="2"/>
  </w:num>
  <w:num w:numId="3" w16cid:durableId="425737240">
    <w:abstractNumId w:val="4"/>
  </w:num>
  <w:num w:numId="4" w16cid:durableId="1765691315">
    <w:abstractNumId w:val="0"/>
  </w:num>
  <w:num w:numId="5" w16cid:durableId="1826048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491"/>
    <w:rsid w:val="001607A3"/>
    <w:rsid w:val="002C6136"/>
    <w:rsid w:val="00374D34"/>
    <w:rsid w:val="00377061"/>
    <w:rsid w:val="00492577"/>
    <w:rsid w:val="006C68E3"/>
    <w:rsid w:val="0086406F"/>
    <w:rsid w:val="00947D68"/>
    <w:rsid w:val="009A6491"/>
    <w:rsid w:val="00AC674D"/>
    <w:rsid w:val="00B03456"/>
    <w:rsid w:val="00B50F5B"/>
    <w:rsid w:val="00C376A6"/>
    <w:rsid w:val="00D0726A"/>
    <w:rsid w:val="00D821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C2C351"/>
  <w15:chartTrackingRefBased/>
  <w15:docId w15:val="{39D97370-EBA9-4F00-AA47-CC6748BD6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7A3"/>
  </w:style>
  <w:style w:type="paragraph" w:styleId="Heading1">
    <w:name w:val="heading 1"/>
    <w:basedOn w:val="Normal"/>
    <w:next w:val="Normal"/>
    <w:link w:val="Heading1Char"/>
    <w:uiPriority w:val="9"/>
    <w:qFormat/>
    <w:rsid w:val="00492577"/>
    <w:pPr>
      <w:keepNext/>
      <w:keepLines/>
      <w:spacing w:before="240" w:after="0"/>
      <w:outlineLvl w:val="0"/>
    </w:pPr>
    <w:rPr>
      <w:rFonts w:asciiTheme="majorHAnsi" w:eastAsiaTheme="majorEastAsia" w:hAnsiTheme="majorHAnsi" w:cstheme="majorBidi"/>
      <w:color w:val="122B52" w:themeColor="accent1" w:themeShade="BF"/>
      <w:sz w:val="32"/>
      <w:szCs w:val="32"/>
    </w:rPr>
  </w:style>
  <w:style w:type="paragraph" w:styleId="Heading2">
    <w:name w:val="heading 2"/>
    <w:basedOn w:val="Normal"/>
    <w:next w:val="Normal"/>
    <w:link w:val="Heading2Char"/>
    <w:uiPriority w:val="9"/>
    <w:unhideWhenUsed/>
    <w:qFormat/>
    <w:rsid w:val="00377061"/>
    <w:pPr>
      <w:keepNext/>
      <w:keepLines/>
      <w:spacing w:before="40" w:after="0"/>
      <w:outlineLvl w:val="1"/>
    </w:pPr>
    <w:rPr>
      <w:rFonts w:asciiTheme="majorHAnsi" w:eastAsiaTheme="majorEastAsia" w:hAnsiTheme="majorHAnsi" w:cstheme="majorBidi"/>
      <w:color w:val="122B52" w:themeColor="accent1" w:themeShade="BF"/>
      <w:sz w:val="26"/>
      <w:szCs w:val="26"/>
    </w:rPr>
  </w:style>
  <w:style w:type="paragraph" w:styleId="Heading3">
    <w:name w:val="heading 3"/>
    <w:basedOn w:val="Normal"/>
    <w:next w:val="Normal"/>
    <w:link w:val="Heading3Char"/>
    <w:uiPriority w:val="9"/>
    <w:semiHidden/>
    <w:unhideWhenUsed/>
    <w:qFormat/>
    <w:rsid w:val="00377061"/>
    <w:pPr>
      <w:keepNext/>
      <w:keepLines/>
      <w:spacing w:before="40" w:after="0"/>
      <w:outlineLvl w:val="2"/>
    </w:pPr>
    <w:rPr>
      <w:rFonts w:asciiTheme="majorHAnsi" w:eastAsiaTheme="majorEastAsia" w:hAnsiTheme="majorHAnsi" w:cstheme="majorBidi"/>
      <w:color w:val="0C1C37"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64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A6491"/>
  </w:style>
  <w:style w:type="paragraph" w:styleId="Footer">
    <w:name w:val="footer"/>
    <w:basedOn w:val="Normal"/>
    <w:link w:val="FooterChar"/>
    <w:uiPriority w:val="99"/>
    <w:unhideWhenUsed/>
    <w:rsid w:val="009A64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6491"/>
  </w:style>
  <w:style w:type="character" w:customStyle="1" w:styleId="Heading1Char">
    <w:name w:val="Heading 1 Char"/>
    <w:basedOn w:val="DefaultParagraphFont"/>
    <w:link w:val="Heading1"/>
    <w:uiPriority w:val="9"/>
    <w:rsid w:val="00492577"/>
    <w:rPr>
      <w:rFonts w:asciiTheme="majorHAnsi" w:eastAsiaTheme="majorEastAsia" w:hAnsiTheme="majorHAnsi" w:cstheme="majorBidi"/>
      <w:color w:val="122B52" w:themeColor="accent1" w:themeShade="BF"/>
      <w:sz w:val="32"/>
      <w:szCs w:val="32"/>
    </w:rPr>
  </w:style>
  <w:style w:type="character" w:customStyle="1" w:styleId="Heading3Char">
    <w:name w:val="Heading 3 Char"/>
    <w:basedOn w:val="DefaultParagraphFont"/>
    <w:link w:val="Heading3"/>
    <w:uiPriority w:val="9"/>
    <w:semiHidden/>
    <w:rsid w:val="00377061"/>
    <w:rPr>
      <w:rFonts w:asciiTheme="majorHAnsi" w:eastAsiaTheme="majorEastAsia" w:hAnsiTheme="majorHAnsi" w:cstheme="majorBidi"/>
      <w:color w:val="0C1C37" w:themeColor="accent1" w:themeShade="7F"/>
      <w:sz w:val="24"/>
      <w:szCs w:val="24"/>
    </w:rPr>
  </w:style>
  <w:style w:type="character" w:customStyle="1" w:styleId="Heading2Char">
    <w:name w:val="Heading 2 Char"/>
    <w:basedOn w:val="DefaultParagraphFont"/>
    <w:link w:val="Heading2"/>
    <w:uiPriority w:val="9"/>
    <w:rsid w:val="00377061"/>
    <w:rPr>
      <w:rFonts w:asciiTheme="majorHAnsi" w:eastAsiaTheme="majorEastAsia" w:hAnsiTheme="majorHAnsi" w:cstheme="majorBidi"/>
      <w:color w:val="122B52"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830758">
      <w:bodyDiv w:val="1"/>
      <w:marLeft w:val="0"/>
      <w:marRight w:val="0"/>
      <w:marTop w:val="0"/>
      <w:marBottom w:val="0"/>
      <w:divBdr>
        <w:top w:val="none" w:sz="0" w:space="0" w:color="auto"/>
        <w:left w:val="none" w:sz="0" w:space="0" w:color="auto"/>
        <w:bottom w:val="none" w:sz="0" w:space="0" w:color="auto"/>
        <w:right w:val="none" w:sz="0" w:space="0" w:color="auto"/>
      </w:divBdr>
    </w:div>
    <w:div w:id="1605453961">
      <w:bodyDiv w:val="1"/>
      <w:marLeft w:val="0"/>
      <w:marRight w:val="0"/>
      <w:marTop w:val="0"/>
      <w:marBottom w:val="0"/>
      <w:divBdr>
        <w:top w:val="none" w:sz="0" w:space="0" w:color="auto"/>
        <w:left w:val="none" w:sz="0" w:space="0" w:color="auto"/>
        <w:bottom w:val="none" w:sz="0" w:space="0" w:color="auto"/>
        <w:right w:val="none" w:sz="0" w:space="0" w:color="auto"/>
      </w:divBdr>
      <w:divsChild>
        <w:div w:id="1150171912">
          <w:marLeft w:val="0"/>
          <w:marRight w:val="0"/>
          <w:marTop w:val="0"/>
          <w:marBottom w:val="0"/>
          <w:divBdr>
            <w:top w:val="single" w:sz="2" w:space="0" w:color="E3E3E3"/>
            <w:left w:val="single" w:sz="2" w:space="0" w:color="E3E3E3"/>
            <w:bottom w:val="single" w:sz="2" w:space="0" w:color="E3E3E3"/>
            <w:right w:val="single" w:sz="2" w:space="0" w:color="E3E3E3"/>
          </w:divBdr>
          <w:divsChild>
            <w:div w:id="1222206032">
              <w:marLeft w:val="0"/>
              <w:marRight w:val="0"/>
              <w:marTop w:val="100"/>
              <w:marBottom w:val="100"/>
              <w:divBdr>
                <w:top w:val="single" w:sz="2" w:space="0" w:color="E3E3E3"/>
                <w:left w:val="single" w:sz="2" w:space="0" w:color="E3E3E3"/>
                <w:bottom w:val="single" w:sz="2" w:space="0" w:color="E3E3E3"/>
                <w:right w:val="single" w:sz="2" w:space="0" w:color="E3E3E3"/>
              </w:divBdr>
              <w:divsChild>
                <w:div w:id="540166625">
                  <w:marLeft w:val="0"/>
                  <w:marRight w:val="0"/>
                  <w:marTop w:val="0"/>
                  <w:marBottom w:val="0"/>
                  <w:divBdr>
                    <w:top w:val="single" w:sz="2" w:space="0" w:color="E3E3E3"/>
                    <w:left w:val="single" w:sz="2" w:space="0" w:color="E3E3E3"/>
                    <w:bottom w:val="single" w:sz="2" w:space="0" w:color="E3E3E3"/>
                    <w:right w:val="single" w:sz="2" w:space="0" w:color="E3E3E3"/>
                  </w:divBdr>
                  <w:divsChild>
                    <w:div w:id="1419668301">
                      <w:marLeft w:val="0"/>
                      <w:marRight w:val="0"/>
                      <w:marTop w:val="0"/>
                      <w:marBottom w:val="0"/>
                      <w:divBdr>
                        <w:top w:val="single" w:sz="2" w:space="0" w:color="E3E3E3"/>
                        <w:left w:val="single" w:sz="2" w:space="0" w:color="E3E3E3"/>
                        <w:bottom w:val="single" w:sz="2" w:space="0" w:color="E3E3E3"/>
                        <w:right w:val="single" w:sz="2" w:space="0" w:color="E3E3E3"/>
                      </w:divBdr>
                      <w:divsChild>
                        <w:div w:id="123694283">
                          <w:marLeft w:val="0"/>
                          <w:marRight w:val="0"/>
                          <w:marTop w:val="0"/>
                          <w:marBottom w:val="0"/>
                          <w:divBdr>
                            <w:top w:val="single" w:sz="2" w:space="0" w:color="E3E3E3"/>
                            <w:left w:val="single" w:sz="2" w:space="0" w:color="E3E3E3"/>
                            <w:bottom w:val="single" w:sz="2" w:space="0" w:color="E3E3E3"/>
                            <w:right w:val="single" w:sz="2" w:space="0" w:color="E3E3E3"/>
                          </w:divBdr>
                          <w:divsChild>
                            <w:div w:id="1628779674">
                              <w:marLeft w:val="0"/>
                              <w:marRight w:val="0"/>
                              <w:marTop w:val="0"/>
                              <w:marBottom w:val="0"/>
                              <w:divBdr>
                                <w:top w:val="single" w:sz="2" w:space="0" w:color="E3E3E3"/>
                                <w:left w:val="single" w:sz="2" w:space="0" w:color="E3E3E3"/>
                                <w:bottom w:val="single" w:sz="2" w:space="0" w:color="E3E3E3"/>
                                <w:right w:val="single" w:sz="2" w:space="0" w:color="E3E3E3"/>
                              </w:divBdr>
                              <w:divsChild>
                                <w:div w:id="2005930992">
                                  <w:marLeft w:val="0"/>
                                  <w:marRight w:val="0"/>
                                  <w:marTop w:val="0"/>
                                  <w:marBottom w:val="0"/>
                                  <w:divBdr>
                                    <w:top w:val="single" w:sz="2" w:space="0" w:color="E3E3E3"/>
                                    <w:left w:val="single" w:sz="2" w:space="0" w:color="E3E3E3"/>
                                    <w:bottom w:val="single" w:sz="2" w:space="0" w:color="E3E3E3"/>
                                    <w:right w:val="single" w:sz="2" w:space="0" w:color="E3E3E3"/>
                                  </w:divBdr>
                                  <w:divsChild>
                                    <w:div w:id="2693159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88817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RiskFrame">
      <a:dk1>
        <a:sysClr val="windowText" lastClr="000000"/>
      </a:dk1>
      <a:lt1>
        <a:sysClr val="window" lastClr="FFFFFF"/>
      </a:lt1>
      <a:dk2>
        <a:srgbClr val="44546A"/>
      </a:dk2>
      <a:lt2>
        <a:srgbClr val="E7E6E6"/>
      </a:lt2>
      <a:accent1>
        <a:srgbClr val="193A6F"/>
      </a:accent1>
      <a:accent2>
        <a:srgbClr val="FF7A15"/>
      </a:accent2>
      <a:accent3>
        <a:srgbClr val="A5A5A5"/>
      </a:accent3>
      <a:accent4>
        <a:srgbClr val="FFC000"/>
      </a:accent4>
      <a:accent5>
        <a:srgbClr val="4E89E5"/>
      </a:accent5>
      <a:accent6>
        <a:srgbClr val="70AD47"/>
      </a:accent6>
      <a:hlink>
        <a:srgbClr val="7D95BD"/>
      </a:hlink>
      <a:folHlink>
        <a:srgbClr val="CC6212"/>
      </a:folHlink>
    </a:clrScheme>
    <a:fontScheme name="RiskFrame">
      <a:majorFont>
        <a:latin typeface="Arial Nova"/>
        <a:ea typeface=""/>
        <a:cs typeface=""/>
      </a:majorFont>
      <a:minorFont>
        <a:latin typeface="Arial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672A112AC4304BBC7477993A6210F7" ma:contentTypeVersion="10" ma:contentTypeDescription="Create a new document." ma:contentTypeScope="" ma:versionID="6e7dba49745cc7e85b9867d388b04385">
  <xsd:schema xmlns:xsd="http://www.w3.org/2001/XMLSchema" xmlns:xs="http://www.w3.org/2001/XMLSchema" xmlns:p="http://schemas.microsoft.com/office/2006/metadata/properties" xmlns:ns2="b326bd37-b330-49eb-8b39-030cc9a208af" xmlns:ns3="02ec1550-5b63-4873-92c9-f86650b67941" targetNamespace="http://schemas.microsoft.com/office/2006/metadata/properties" ma:root="true" ma:fieldsID="493e856cd5142c2a505a2cf204364858" ns2:_="" ns3:_="">
    <xsd:import namespace="b326bd37-b330-49eb-8b39-030cc9a208af"/>
    <xsd:import namespace="02ec1550-5b63-4873-92c9-f86650b6794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6bd37-b330-49eb-8b39-030cc9a208a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f7c43287-39bd-4ea9-a089-4e3356305ae7"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c1550-5b63-4873-92c9-f86650b6794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bcbfe08-d39b-4ede-8b78-bed269346114}" ma:internalName="TaxCatchAll" ma:showField="CatchAllData" ma:web="02ec1550-5b63-4873-92c9-f86650b679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A1E34E-7A97-462C-A452-77F99D975F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26bd37-b330-49eb-8b39-030cc9a208af"/>
    <ds:schemaRef ds:uri="02ec1550-5b63-4873-92c9-f86650b67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28D64D-91D9-46AE-A8F5-16D29EC707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680</Words>
  <Characters>3876</Characters>
  <Application>Microsoft Office Word</Application>
  <DocSecurity>0</DocSecurity>
  <Lines>32</Lines>
  <Paragraphs>9</Paragraphs>
  <ScaleCrop>false</ScaleCrop>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RiskFrame.ai Word Document Template</dc:title>
  <dc:subject/>
  <dc:creator>Yiannis Pavlosoglou</dc:creator>
  <cp:keywords>RiskFrame.ai</cp:keywords>
  <dc:description/>
  <cp:lastModifiedBy>Yiannis Pavlosoglou</cp:lastModifiedBy>
  <cp:revision>10</cp:revision>
  <dcterms:created xsi:type="dcterms:W3CDTF">2024-02-27T10:20:00Z</dcterms:created>
  <dcterms:modified xsi:type="dcterms:W3CDTF">2024-02-27T10:24:00Z</dcterms:modified>
</cp:coreProperties>
</file>